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12A4D"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2020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66187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</w:t>
      </w:r>
      <w:r w:rsidR="006E713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որոշում է ընդունում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վերաբերյալ:)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br/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35-րդ հոդվածի 1-ին մասի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համայնքային հիմնարկների, համայնքային ենթակայությամբ առևտրային և համայնքային ոչ առևտրային կազմակերպությունների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և հաշվի 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Հայաստանի Հանրապետո</w:t>
      </w:r>
      <w:r w:rsidR="00E12A4D">
        <w:rPr>
          <w:rFonts w:ascii="GHEA Mariam" w:hAnsi="GHEA Mariam" w:cs="Sylfaen"/>
          <w:sz w:val="22"/>
          <w:szCs w:val="22"/>
          <w:lang w:val="hy-AM"/>
        </w:rPr>
        <w:t>ւթյան Կոտայքի մարզի Բյուրեղավան</w:t>
      </w:r>
      <w:bookmarkStart w:id="0" w:name="_GoBack"/>
      <w:bookmarkEnd w:id="0"/>
      <w:r w:rsidR="00E12A4D">
        <w:rPr>
          <w:rFonts w:ascii="GHEA Mariam" w:hAnsi="GHEA Mariam" w:cs="Sylfaen"/>
          <w:sz w:val="22"/>
          <w:szCs w:val="22"/>
          <w:lang w:val="hy-AM"/>
        </w:rPr>
        <w:t xml:space="preserve"> համայնքի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համայնքային ենթ</w:t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ակայության կազմակերպությունների </w:t>
      </w:r>
      <w:r w:rsidRPr="0084095D">
        <w:rPr>
          <w:rFonts w:ascii="GHEA Mariam" w:hAnsi="GHEA Mariam" w:cs="Sylfaen"/>
          <w:sz w:val="22"/>
          <w:szCs w:val="22"/>
          <w:lang w:val="hy-AM"/>
        </w:rPr>
        <w:t>2020 թվականի աշխատողների քանակը, հաստիքացուցակ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ներ</w:t>
      </w:r>
      <w:r w:rsidRPr="0084095D">
        <w:rPr>
          <w:rFonts w:ascii="GHEA Mariam" w:hAnsi="GHEA Mariam" w:cs="Sylfaen"/>
          <w:sz w:val="22"/>
          <w:szCs w:val="22"/>
          <w:lang w:val="hy-AM"/>
        </w:rPr>
        <w:t>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7B28EC" w:rsidRPr="00B32E53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E12A4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2020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E12A4D" w:rsidRPr="00E12A4D">
        <w:rPr>
          <w:rFonts w:ascii="GHEA Mariam" w:hAnsi="GHEA Mariam" w:cs="Sylfaen"/>
          <w:lang w:val="hy-AM"/>
        </w:rPr>
        <w:t>համայնքային ենթ</w:t>
      </w:r>
      <w:r w:rsidR="00E12A4D">
        <w:rPr>
          <w:rFonts w:ascii="GHEA Mariam" w:hAnsi="GHEA Mariam" w:cs="Sylfaen"/>
          <w:lang w:val="hy-AM"/>
        </w:rPr>
        <w:t xml:space="preserve">ակայության կազմակերպությունների </w:t>
      </w:r>
      <w:r w:rsidR="00E12A4D" w:rsidRPr="0084095D">
        <w:rPr>
          <w:rFonts w:ascii="GHEA Mariam" w:hAnsi="GHEA Mariam" w:cs="Sylfaen"/>
          <w:lang w:val="hy-AM"/>
        </w:rPr>
        <w:t>2020 թվականի աշխատողների քանակը, հաստիքացուցակ</w:t>
      </w:r>
      <w:r w:rsidR="00E12A4D" w:rsidRPr="00E12A4D">
        <w:rPr>
          <w:rFonts w:ascii="GHEA Mariam" w:hAnsi="GHEA Mariam" w:cs="Sylfaen"/>
          <w:lang w:val="hy-AM"/>
        </w:rPr>
        <w:t>ներ</w:t>
      </w:r>
      <w:r w:rsidR="00E12A4D" w:rsidRPr="0084095D">
        <w:rPr>
          <w:rFonts w:ascii="GHEA Mariam" w:hAnsi="GHEA Mariam" w:cs="Sylfaen"/>
          <w:lang w:val="hy-AM"/>
        </w:rPr>
        <w:t>ը և պաշտոնային դրույքաչափերը</w:t>
      </w:r>
      <w:r w:rsidRPr="00977E21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E7130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4C8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31</cp:revision>
  <cp:lastPrinted>2019-07-29T13:26:00Z</cp:lastPrinted>
  <dcterms:created xsi:type="dcterms:W3CDTF">2018-11-08T08:37:00Z</dcterms:created>
  <dcterms:modified xsi:type="dcterms:W3CDTF">2019-12-18T12:47:00Z</dcterms:modified>
</cp:coreProperties>
</file>