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E0" w:rsidRDefault="005E58E0" w:rsidP="005F1C5F">
      <w:pPr>
        <w:tabs>
          <w:tab w:val="left" w:pos="450"/>
        </w:tabs>
        <w:spacing w:line="240" w:lineRule="auto"/>
        <w:ind w:right="-270"/>
        <w:jc w:val="right"/>
        <w:rPr>
          <w:rFonts w:ascii="GHEA Mariam" w:hAnsi="GHEA Mariam"/>
          <w:sz w:val="18"/>
          <w:szCs w:val="18"/>
          <w:lang w:val="en-US"/>
        </w:rPr>
      </w:pPr>
    </w:p>
    <w:p w:rsidR="005F1C5F" w:rsidRPr="00145443" w:rsidRDefault="005F1C5F" w:rsidP="005F1C5F">
      <w:pPr>
        <w:tabs>
          <w:tab w:val="left" w:pos="450"/>
        </w:tabs>
        <w:spacing w:line="240" w:lineRule="auto"/>
        <w:ind w:right="-270"/>
        <w:jc w:val="right"/>
        <w:rPr>
          <w:rFonts w:ascii="GHEA Mariam" w:hAnsi="GHEA Mariam"/>
          <w:sz w:val="18"/>
          <w:szCs w:val="18"/>
          <w:lang w:val="en-US"/>
        </w:rPr>
      </w:pPr>
      <w:r w:rsidRPr="00145443">
        <w:rPr>
          <w:rFonts w:ascii="GHEA Mariam" w:hAnsi="GHEA Mariam"/>
          <w:sz w:val="18"/>
          <w:szCs w:val="18"/>
          <w:lang w:val="en-US"/>
        </w:rPr>
        <w:t xml:space="preserve">Հավելված 1 </w:t>
      </w:r>
      <w:r w:rsidRPr="00145443">
        <w:rPr>
          <w:rFonts w:ascii="GHEA Mariam" w:hAnsi="GHEA Mariam"/>
          <w:sz w:val="18"/>
          <w:szCs w:val="18"/>
          <w:lang w:val="en-US"/>
        </w:rPr>
        <w:br/>
      </w:r>
      <w:r w:rsidR="00873D2E" w:rsidRPr="00145443">
        <w:rPr>
          <w:rFonts w:ascii="GHEA Mariam" w:hAnsi="GHEA Mariam"/>
          <w:sz w:val="18"/>
          <w:szCs w:val="18"/>
          <w:lang w:val="en-US"/>
        </w:rPr>
        <w:t>Բյուրեղավան</w:t>
      </w:r>
      <w:r w:rsidRPr="00145443">
        <w:rPr>
          <w:rFonts w:ascii="GHEA Mariam" w:hAnsi="GHEA Mariam"/>
          <w:sz w:val="18"/>
          <w:szCs w:val="18"/>
          <w:lang w:val="en-US"/>
        </w:rPr>
        <w:t xml:space="preserve"> համայնքի </w:t>
      </w:r>
      <w:r w:rsidR="00873D2E" w:rsidRPr="00145443">
        <w:rPr>
          <w:rFonts w:ascii="GHEA Mariam" w:hAnsi="GHEA Mariam"/>
          <w:sz w:val="18"/>
          <w:szCs w:val="18"/>
          <w:lang w:val="en-US"/>
        </w:rPr>
        <w:t xml:space="preserve"> ավագանու</w:t>
      </w:r>
      <w:r w:rsidR="00873D2E" w:rsidRPr="00145443">
        <w:rPr>
          <w:rFonts w:ascii="GHEA Mariam" w:hAnsi="GHEA Mariam"/>
          <w:sz w:val="18"/>
          <w:szCs w:val="18"/>
          <w:lang w:val="en-US"/>
        </w:rPr>
        <w:br/>
        <w:t>2017</w:t>
      </w:r>
      <w:r w:rsidRPr="00145443">
        <w:rPr>
          <w:rFonts w:ascii="GHEA Mariam" w:hAnsi="GHEA Mariam"/>
          <w:sz w:val="18"/>
          <w:szCs w:val="18"/>
          <w:lang w:val="en-US"/>
        </w:rPr>
        <w:t xml:space="preserve"> թվականի</w:t>
      </w:r>
      <w:r w:rsidR="008D5723" w:rsidRPr="00145443">
        <w:rPr>
          <w:rFonts w:ascii="GHEA Mariam" w:hAnsi="GHEA Mariam"/>
          <w:sz w:val="18"/>
          <w:szCs w:val="18"/>
          <w:lang w:val="en-US"/>
        </w:rPr>
        <w:t xml:space="preserve">  դեկտեմբերի  14</w:t>
      </w:r>
      <w:r w:rsidR="00873D2E" w:rsidRPr="00145443">
        <w:rPr>
          <w:rFonts w:ascii="GHEA Mariam" w:hAnsi="GHEA Mariam"/>
          <w:sz w:val="18"/>
          <w:szCs w:val="18"/>
          <w:lang w:val="en-US"/>
        </w:rPr>
        <w:t xml:space="preserve"> </w:t>
      </w:r>
      <w:r w:rsidR="008F73AB" w:rsidRPr="00145443">
        <w:rPr>
          <w:rFonts w:ascii="GHEA Mariam" w:hAnsi="GHEA Mariam"/>
          <w:sz w:val="18"/>
          <w:szCs w:val="18"/>
          <w:lang w:val="en-US"/>
        </w:rPr>
        <w:t xml:space="preserve">-ի  </w:t>
      </w:r>
      <w:r w:rsidRPr="00145443">
        <w:rPr>
          <w:rFonts w:ascii="GHEA Mariam" w:hAnsi="GHEA Mariam"/>
          <w:sz w:val="18"/>
          <w:szCs w:val="18"/>
          <w:lang w:val="en-US"/>
        </w:rPr>
        <w:t xml:space="preserve">N </w:t>
      </w:r>
      <w:r w:rsidR="00CF4A74">
        <w:rPr>
          <w:rFonts w:ascii="GHEA Mariam" w:hAnsi="GHEA Mariam"/>
          <w:sz w:val="18"/>
          <w:szCs w:val="18"/>
          <w:lang w:val="en-US"/>
        </w:rPr>
        <w:t>16</w:t>
      </w:r>
      <w:r w:rsidR="00F667CB" w:rsidRPr="00145443">
        <w:rPr>
          <w:rFonts w:ascii="GHEA Mariam" w:hAnsi="GHEA Mariam"/>
          <w:sz w:val="18"/>
          <w:szCs w:val="18"/>
          <w:lang w:val="en-US"/>
        </w:rPr>
        <w:t>-</w:t>
      </w:r>
      <w:r w:rsidR="00873D2E" w:rsidRPr="00145443">
        <w:rPr>
          <w:rFonts w:ascii="GHEA Mariam" w:hAnsi="GHEA Mariam"/>
          <w:sz w:val="18"/>
          <w:szCs w:val="18"/>
          <w:lang w:val="en-US"/>
        </w:rPr>
        <w:t xml:space="preserve">Ն </w:t>
      </w:r>
      <w:r w:rsidRPr="00145443">
        <w:rPr>
          <w:rFonts w:ascii="GHEA Mariam" w:hAnsi="GHEA Mariam"/>
          <w:sz w:val="18"/>
          <w:szCs w:val="18"/>
          <w:lang w:val="en-US"/>
        </w:rPr>
        <w:t xml:space="preserve"> որոշման</w:t>
      </w:r>
    </w:p>
    <w:p w:rsidR="00AA3ED1" w:rsidRPr="00677B45" w:rsidRDefault="00AA3ED1" w:rsidP="00AA3ED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97766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AA3ED1" w:rsidRPr="00145443" w:rsidRDefault="008D5723" w:rsidP="00AA3ED1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ՀԱՅԱՍՏԱՆԻ ՀԱՆՐԱՊԵՏՈՒԹՅԱՆ ԿՈՏԱՅՔԻ ՄԱՐԶԻ </w:t>
      </w:r>
      <w:r w:rsidR="0097766D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>ԲՅՈՒՐԵՂԱՎԱՆ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873D2E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ՎԱՐՉԱԿԱՆ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ՏԱՐԱԾՔՈՒՄ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ԱՐՏԱՔԻՆ</w:t>
      </w:r>
      <w:r w:rsidR="001329BB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br/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ՏԵՂԱԴՐՄԱՆ</w:t>
      </w:r>
      <w:r w:rsidR="001329BB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ԿԱՐԳ</w:t>
      </w:r>
    </w:p>
    <w:p w:rsidR="001329BB" w:rsidRPr="00145443" w:rsidRDefault="001329BB" w:rsidP="00873D2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Cs/>
          <w:color w:val="000000"/>
          <w:sz w:val="20"/>
          <w:szCs w:val="20"/>
          <w:lang w:val="en-US" w:eastAsia="ru-RU"/>
        </w:rPr>
      </w:pPr>
    </w:p>
    <w:p w:rsidR="00AA3ED1" w:rsidRPr="00145443" w:rsidRDefault="00AA3ED1" w:rsidP="00145443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 Unicode" w:eastAsia="Times New Roman" w:hAnsi="Arial Unicode" w:cs="Times New Roman"/>
          <w:bCs/>
          <w:color w:val="000000"/>
          <w:sz w:val="20"/>
          <w:szCs w:val="20"/>
          <w:lang w:val="en-US" w:eastAsia="ru-RU"/>
        </w:rPr>
        <w:br/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ԸՆԴՀԱՆՈՒՐ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ԴՐՈՒՅԹՆԵՐ</w:t>
      </w:r>
    </w:p>
    <w:p w:rsidR="00AA3ED1" w:rsidRPr="00145443" w:rsidRDefault="00AA3ED1" w:rsidP="0014544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Սույն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8D572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Հայաստանի Հանրապետության Կոտայքի մարզի </w:t>
      </w:r>
      <w:r w:rsidR="0093466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873D2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համայնքի</w:t>
      </w:r>
      <w:r w:rsidR="00D43A8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(այսուհետ՝ համայնք)</w:t>
      </w:r>
      <w:r w:rsidR="00873D2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վարչական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կարգը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: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ընդունվել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է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8E5E12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2.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իրավաբանական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ֆիզիկական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անձանց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ապրանքների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գաղափարների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նախաձեռնությունների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տեղեկությունների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տարածումն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բնակավայրերում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միջոցներով</w:t>
      </w:r>
      <w:r w:rsidR="00576D9F" w:rsidRPr="00145443">
        <w:rPr>
          <w:rFonts w:ascii="Arial Unicode" w:hAnsi="Arial Unicode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գրաժապավենների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լուսատախտակների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պլակատների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ազդագրերի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հայտարարությունների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անորոշ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թվով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անձանց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շրջանում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կոչված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ձևավորելու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պահպանելու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հետաքրքրությունը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տվյալ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ֆիզիկական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իրավաբանական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անձի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ապրանքների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նախաձեռնությունների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նկատմամբ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  <w:r w:rsidR="008E5E12" w:rsidRPr="0014544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AA3ED1" w:rsidRPr="00145443" w:rsidRDefault="001329BB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կառավարության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2002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մարտի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19-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</w:t>
      </w:r>
      <w:r w:rsidR="000E01C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N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270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ցուցանակների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զետեղվող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տեղեկատվությունը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: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93466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համայնքի վարչական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տեղաբաշխման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չափորոշիչներով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»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այսուհետ՝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Չափորոշիչներ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մակերեսից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ավելի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մակերեսով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ֆիրմային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նշանները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ապրանքանշանները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A0E9C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3.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Կանոնները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բոլոր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տրանսպորտային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որտեղ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պետք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677B45" w:rsidRPr="00145443" w:rsidRDefault="00677B45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4.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Համայնքային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սեփականություն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հանդիսացող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հողամասի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հողային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օրենսգրքով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կարգով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4A3E97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Բյո</w:t>
      </w:r>
      <w:r w:rsidR="004A3E97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ւ</w:t>
      </w:r>
      <w:r w:rsidR="00873D2E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րեղավան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ղեկավարի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որոշմամբ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հողամասը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օգտագործման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իրավունքով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հանձնվում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դիմում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ներկայացրած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)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՝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միաժամանակ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կնքելով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հողօգտագործման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պայմանագիր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հետագայում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տվյալ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նախապատվության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իրավունքով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երկարացնելու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պայմանով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5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թույլատրվում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եթե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Կարգի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Պայմանների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6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Կարգին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Պայմաններին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425E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Բյուրեղավանի համայնքապետարանը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ծավալը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քանակությունը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տեղաբաշխման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կարգն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պայմանները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AA3ED1" w:rsidRPr="00145443" w:rsidRDefault="00145443" w:rsidP="00145443">
      <w:pPr>
        <w:shd w:val="clear" w:color="auto" w:fill="FFFFFF"/>
        <w:spacing w:after="0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ԳՈՎԱԶԴԻ</w:t>
      </w:r>
      <w:r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ԹՈՒՅԼՏՎՈՒԹՅՈՒՆԸ</w:t>
      </w:r>
    </w:p>
    <w:p w:rsidR="00AA3ED1" w:rsidRPr="00145443" w:rsidRDefault="00AA3ED1" w:rsidP="00145443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7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հետագայում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)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ինքնակառավարման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Կ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արգով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425E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ղեկավարի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="005F1C5F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՝ Ձև 1-ով սահմանված ձևաչափով:</w:t>
      </w:r>
    </w:p>
    <w:p w:rsidR="00AA3ED1" w:rsidRPr="00145443" w:rsidRDefault="005E58E0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lastRenderedPageBreak/>
        <w:br/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8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425E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</w:t>
      </w:r>
      <w:r w:rsidR="00E208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ւ</w:t>
      </w:r>
      <w:r w:rsidR="005425EE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եղավան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ղեկավարին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նշելով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գտնվելու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վայրը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վայրը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ինչպես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հարցի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լուծման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նշանակություն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ունեցող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հանգամանքները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կցվում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պատկերով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գրառումներով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էսքիզը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որտեղ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չափերը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ձևը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լուսատախտակ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գրաժապավեն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պլակատներ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տեխնիկական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լուծումները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9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Բյուրեղավանի համայնքապետարանը</w:t>
      </w:r>
      <w:r w:rsidR="00E208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անհրաժեշտ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փաստաթղթերը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ստանալուց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հետո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պարզում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Կարգի 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1329B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Պայմանների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եթե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վերադարձվում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թերությունը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վերացնելու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նորից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E208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15-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օրյա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ներկայացնելու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15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օրվա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ընթացքում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Բյուրեղավան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ղեկավարի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որոշմամբ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անվանումը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տեղաբաշխման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ձևը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նյութերի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անվանումը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գործողության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10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հասցեում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մեկից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ավելի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առկայության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ղեկավարը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Հրապարակային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սակարկությունների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հայտարարում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կացնում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մրցույթ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արդյունքներով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մրցույթի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հաղթողին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11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Թույլտվությունը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հանդիսանում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հաշվառման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փաստաթուղթ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որը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գրանցվում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Բյուրեղավանի </w:t>
      </w:r>
      <w:r w:rsidR="00E20872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համայնքապետարանի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թույլտվությունների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հաշվառման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մատյանում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իսկ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թույլտվության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պատճենը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հաշվառման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մատյանը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պահվում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E20872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համայնքապետարանի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աշխատակազմի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համայնքային ծառայողի մոտ</w:t>
      </w:r>
      <w:r w:rsidR="00AA3ED1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:</w:t>
      </w:r>
    </w:p>
    <w:p w:rsidR="00AA3ED1" w:rsidRPr="00145443" w:rsidRDefault="00E20872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վերաբերյալ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            </w:t>
      </w:r>
      <w:r w:rsid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15-</w:t>
      </w:r>
      <w:r w:rsid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օրյա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մերժվել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եթե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AA3ED1" w:rsidRPr="00145443" w:rsidRDefault="00E20872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.1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փաստաթղթերը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Կարգի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Պայմանների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AA3ED1" w:rsidRPr="00145443" w:rsidRDefault="00E20872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.2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խախտվում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Լեզվի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իրավական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ակտերի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AA3ED1" w:rsidRPr="00145443" w:rsidRDefault="00E20872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.3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տեղադրմամբ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խոչընդոտվում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ճանապարհային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երթևեկությունը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քաղաքացիների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անցուդարձը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խախտվում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անձանց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պաշտպանված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իրավունքներն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շահերը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13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մերժելու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վերաբերյալ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մեջ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պետք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հստակ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նշվեն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մերժման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պատճառներն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հիմքերը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14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նյութերը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ժամանակ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ինչպես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արդեն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տեղեկատվության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փոփոխման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մինչև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նյութերի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արդեն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գովազդվող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տեղեկատվության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փոփոխումը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այդ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գրավոր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տեղեկացնում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Բյուրեղավանի համայնքապետարանին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ներկայացնելով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պատկերով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գրառումներով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էսքիզը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որտեղ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: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էսքիզը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համաձայնեցվում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Բյուրեղավանի համայնքապետարանի</w:t>
      </w:r>
      <w:r w:rsidR="00E208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աշխատակազմի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944100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համապատասխան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մասնագետի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15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պետք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Լեզվի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Կարգի , Պայմանների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իրավական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ակտերի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5E58E0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16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մոնտաժային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աշխատանքները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կատարվում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հայտատուի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պատվերով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մասնագիտացված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կազմակերպությունների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մշակված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Բյուրեղավանի  համայնքապետարանի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աշխատակազմի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882C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համապատասխան </w:t>
      </w:r>
      <w:r w:rsidR="005C566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հարցերով զբաղվող մասնագետի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համաձայնեցված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նախագծով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: 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lastRenderedPageBreak/>
        <w:t>Արտաքին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կարգով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պատասխանատվություն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կրում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մոնտաժման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ապահովության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դրա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անվթար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շահագործման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E20872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7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իրավասու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իրեն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փոխանցել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օտարել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անձի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145443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 w:rsidR="00E208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8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լրանալու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երկարացնելու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պայմանագրով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նախատեսված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հիմքերով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վաղաժամ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դադարելու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լուծելու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br/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պարտավոր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ողջամիտ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ժամկետում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ապամոնտաժել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տեղաբաշխման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իսկ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զբաղեցրած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բերել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նախկին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վիճակին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B6194A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19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նախատեսված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պարտավորությունը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չկատարելու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ոչ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պատշաճ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կատարելու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B63F7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 համայնքի ղեկավարի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որոշման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ապամոնտաժումն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իրականացվում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B63F7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Բյուրեղավանի </w:t>
      </w:r>
      <w:r w:rsidR="00206A6B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համայնքապետարանի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կարգով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գովազդակրից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ստանալով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փոխհատուցում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ՏԵՂԱԿԱՆ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ՏՈՒՐՔԵՐԻ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ԵՎ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ՀՈՂՕԳՏԱԳՈՐԾՄԱՆ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ՎՃԱՐԻ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ՄՈՒԾՄԱՆ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ԿԱՐԳԸ</w:t>
      </w:r>
    </w:p>
    <w:p w:rsidR="00AA3ED1" w:rsidRPr="00145443" w:rsidRDefault="00AA3ED1" w:rsidP="00145443">
      <w:pPr>
        <w:shd w:val="clear" w:color="auto" w:fill="FFFFFF"/>
        <w:spacing w:after="0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AA3ED1" w:rsidRPr="00145443" w:rsidRDefault="00ED3218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0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D43A8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ամայնքի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ավագանին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յուրաքանչյուր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ամսվա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տեղադրելու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մեկ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քառակուսի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մետրի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տուրքի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դրույքաչափերը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տուրքերի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վճարների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երբ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թույլտվության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պայմանագրի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գործողության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ընթացքում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գովազդվող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տեղեկատվությունը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փոփոխվում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նախատեսված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տուրքի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դրույքաչափ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գովազդակիրը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վճարումը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կատարում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տուրքերի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վճարների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համաձայն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համայնքի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ավագանու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հաստատված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դրույքաչափերով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D07B4D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վճարված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գումարներն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ուղղվում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Բյուրեղավան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համայնքի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բյուջե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3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կողմից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անբարեխիղճ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վազդ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տալու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դեպքում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  <w:r w:rsidR="00882C72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համայնքի ղեկավարը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օրենսդրության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խախտման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դադարեցման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հակագովազդի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իրականացման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վերաբերյալ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գրավոր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նախազգուշացնում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գովազդատուին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գովազդակրին</w:t>
      </w:r>
      <w:r w:rsidR="00C95453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):</w:t>
      </w:r>
    </w:p>
    <w:p w:rsidR="00ED3218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4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.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Գովազդատուները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գովազդակիրները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իրավասու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են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օրենքով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սահմանված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կարգով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դատական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կարգով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բողոքարկել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տեղաբաշխման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տեղադրման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կապակցությամբ</w:t>
      </w:r>
      <w:r w:rsidR="00ED3218" w:rsidRPr="00145443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Բյուրեղավանն 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համայնքի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ղեկավարի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որոշումներն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ու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գործողությունները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:</w:t>
      </w:r>
    </w:p>
    <w:p w:rsidR="00AA3ED1" w:rsidRPr="00145443" w:rsidRDefault="00AA3ED1" w:rsidP="00145443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5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. </w:t>
      </w:r>
      <w:r w:rsidR="00D43A8D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</w:t>
      </w:r>
      <w:r w:rsidR="00D07B4D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ամայնքում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արտաքին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գովազդի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տեղաբաշխման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(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տեղադրման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)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գործընթացի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նկատմամբ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հսկողությունն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օրենքով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սահմանված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կարգով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և գ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ովազդի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մասին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օրենսդրության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պահպանման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նկատմամբ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վերահսկողությունը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իրականացնում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է</w:t>
      </w:r>
      <w:r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Բյուրեղավան  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eastAsia="ru-RU"/>
        </w:rPr>
        <w:t>համայնքի</w:t>
      </w:r>
      <w:r w:rsidR="00C95453" w:rsidRPr="00145443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ղեկավարը:</w:t>
      </w:r>
    </w:p>
    <w:p w:rsidR="00C26BE3" w:rsidRPr="00145443" w:rsidRDefault="00ED3218" w:rsidP="00145443">
      <w:pPr>
        <w:shd w:val="clear" w:color="auto" w:fill="FFFFFF"/>
        <w:spacing w:after="24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</w:t>
      </w:r>
      <w:r w:rsidR="00B6194A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6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օրենսդրության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խախտումը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առաջացնում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օրենքով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նախատեսված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պատասխանատվություն</w:t>
      </w:r>
      <w:r w:rsidR="00AA3ED1" w:rsidRPr="00145443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C26BE3" w:rsidRDefault="00C26BE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5443" w:rsidRPr="0090711A" w:rsidRDefault="00145443" w:rsidP="00A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21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2"/>
      </w:tblGrid>
      <w:tr w:rsidR="00AA3ED1" w:rsidRPr="00C26BE3" w:rsidTr="00145443">
        <w:trPr>
          <w:tblCellSpacing w:w="0" w:type="dxa"/>
          <w:jc w:val="center"/>
        </w:trPr>
        <w:tc>
          <w:tcPr>
            <w:tcW w:w="10212" w:type="dxa"/>
            <w:shd w:val="clear" w:color="auto" w:fill="FFFFFF"/>
            <w:noWrap/>
            <w:vAlign w:val="center"/>
            <w:hideMark/>
          </w:tcPr>
          <w:p w:rsidR="00AA3ED1" w:rsidRPr="005F1C5F" w:rsidRDefault="004A3E97" w:rsidP="004A3E9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5F1C5F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                                                                                                                </w:t>
            </w:r>
            <w:r w:rsidR="005F1C5F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                 </w:t>
            </w:r>
            <w:r w:rsidRPr="005F1C5F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 </w:t>
            </w:r>
            <w:r w:rsidR="00AA3ED1" w:rsidRPr="005F1C5F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Ձև</w:t>
            </w:r>
            <w:r w:rsidR="00AA3ED1" w:rsidRPr="005F1C5F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1</w:t>
            </w:r>
          </w:p>
          <w:p w:rsidR="00AA3ED1" w:rsidRPr="005F1C5F" w:rsidRDefault="00D43A8D" w:rsidP="00AA3ED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ՀԱՅԱՍՏԱՆԻ ՀԱՆՐԱՊԵՏՈՒԹՅԱՆ ԿՈՏԱՅՔԻ ՄԱՐԶԻ </w:t>
            </w:r>
            <w:r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br/>
            </w:r>
            <w:r w:rsidR="00C26BE3"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>ԲՅՈՒՐԵՂԱՎ</w:t>
            </w:r>
            <w:r w:rsidR="00873D2E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>Ա</w:t>
            </w:r>
            <w:r w:rsidR="00C26BE3"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Ն </w:t>
            </w:r>
            <w:r w:rsidR="00873D2E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>ՀԱՄԱՅՆՔԻ</w:t>
            </w:r>
            <w:r w:rsidR="00C26BE3"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AA3ED1"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AA3ED1"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ՏԱՐԱԾՔՈՒՄ</w:t>
            </w:r>
          </w:p>
          <w:p w:rsidR="00AA3ED1" w:rsidRPr="005F1C5F" w:rsidRDefault="00AA3ED1" w:rsidP="00AA3ED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ԱՐՏԱՔԻՆ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ԳՈՎԱԶԴԻ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ՏԵՂԱԴՐՄԱՆ</w:t>
            </w:r>
          </w:p>
          <w:p w:rsidR="00AA3ED1" w:rsidRPr="0090711A" w:rsidRDefault="00AA3ED1" w:rsidP="00AA3E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E5E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  <w:p w:rsidR="00AA3ED1" w:rsidRPr="005F1C5F" w:rsidRDefault="00AA3ED1" w:rsidP="00AA3ED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Թ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ՈՒ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Յ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Լ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Տ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Վ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ՈՒ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Թ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Յ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ՈՒ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eastAsia="ru-RU"/>
              </w:rPr>
              <w:t>Ն</w:t>
            </w:r>
            <w:r w:rsidRPr="005F1C5F">
              <w:rPr>
                <w:rFonts w:ascii="Courier New" w:eastAsia="Times New Roman" w:hAnsi="Courier New" w:cs="Courier New"/>
                <w:b/>
                <w:bCs/>
                <w:color w:val="000000"/>
                <w:lang w:val="en-US" w:eastAsia="ru-RU"/>
              </w:rPr>
              <w:t> </w:t>
            </w:r>
            <w:r w:rsidRPr="005F1C5F">
              <w:rPr>
                <w:rFonts w:ascii="GHEA Mariam" w:eastAsia="Times New Roman" w:hAnsi="GHEA Mariam" w:cs="Times New Roman"/>
                <w:b/>
                <w:bCs/>
                <w:color w:val="000000"/>
                <w:lang w:val="en-US" w:eastAsia="ru-RU"/>
              </w:rPr>
              <w:t xml:space="preserve"> N ____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7190"/>
            </w:tblGrid>
            <w:tr w:rsidR="00AA3ED1" w:rsidRPr="00CF4A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A3ED1" w:rsidRPr="00CF4A74" w:rsidTr="004334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3ED1" w:rsidRPr="005F1C5F" w:rsidRDefault="00AA3ED1" w:rsidP="00AA3ED1">
                        <w:pPr>
                          <w:spacing w:before="100" w:beforeAutospacing="1" w:after="100" w:afterAutospacing="1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before="100" w:beforeAutospacing="1" w:after="100" w:afterAutospacing="1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before="100" w:beforeAutospacing="1" w:after="100" w:afterAutospacing="1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before="100" w:beforeAutospacing="1" w:after="100" w:afterAutospacing="1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</w:tbl>
                <w:p w:rsidR="00AA3ED1" w:rsidRPr="005F1C5F" w:rsidRDefault="00AA3ED1" w:rsidP="00AA3ED1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en-US" w:eastAsia="ru-RU"/>
                    </w:rPr>
                  </w:pPr>
                  <w:r w:rsidRPr="005F1C5F">
                    <w:rPr>
                      <w:rFonts w:ascii="Courier New" w:eastAsia="Times New Roman" w:hAnsi="Courier New" w:cs="Courier New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AA3ED1" w:rsidRPr="00CF4A7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ind w:firstLine="375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GHEA Mariam" w:eastAsia="Times New Roman" w:hAnsi="GHEA Mariam" w:cs="Times New Roman"/>
                            <w:lang w:eastAsia="ru-RU"/>
                          </w:rPr>
                          <w:t>Տրվում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 xml:space="preserve"> 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eastAsia="ru-RU"/>
                          </w:rPr>
                          <w:t>է</w:t>
                        </w:r>
                        <w:r w:rsidR="00482311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 xml:space="preserve">       ________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_____________________________</w:t>
                        </w:r>
                      </w:p>
                      <w:p w:rsidR="00AA3ED1" w:rsidRPr="00482311" w:rsidRDefault="00482311" w:rsidP="00AA3ED1">
                        <w:pPr>
                          <w:spacing w:after="0" w:line="240" w:lineRule="auto"/>
                          <w:jc w:val="center"/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              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eastAsia="ru-RU"/>
                          </w:rPr>
                          <w:t>գովազդատուի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eastAsia="ru-RU"/>
                          </w:rPr>
                          <w:t>և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(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eastAsia="ru-RU"/>
                          </w:rPr>
                          <w:t>կամ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)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eastAsia="ru-RU"/>
                          </w:rPr>
                          <w:t>գովազդակրի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8"/>
                            <w:szCs w:val="18"/>
                            <w:lang w:eastAsia="ru-RU"/>
                          </w:rPr>
                          <w:t>անվանումը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</w:t>
                        </w:r>
                        <w:r w:rsidR="00482311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______________________________</w:t>
                        </w:r>
                      </w:p>
                      <w:p w:rsidR="00AA3ED1" w:rsidRPr="00482311" w:rsidRDefault="00AA3ED1" w:rsidP="0048231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արտաքին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գովազդի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տեղաբաշխման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(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տեղադրման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) 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վայրը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(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տեղը</w:t>
                        </w:r>
                        <w:r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>)</w:t>
                        </w:r>
                      </w:p>
                      <w:p w:rsidR="00AA3ED1" w:rsidRPr="005F1C5F" w:rsidRDefault="0048231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</w:t>
                        </w:r>
                        <w:r w:rsidR="00AA3ED1"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___________________________________</w:t>
                        </w:r>
                      </w:p>
                      <w:p w:rsidR="00AA3ED1" w:rsidRPr="00482311" w:rsidRDefault="00482311" w:rsidP="0048231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       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արտաքին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գովազդ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տեղաբաշխելու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(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տեղադրելու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)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միջոցը</w:t>
                        </w:r>
                      </w:p>
                      <w:p w:rsidR="00AA3ED1" w:rsidRPr="005F1C5F" w:rsidRDefault="00482311" w:rsidP="0048231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   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>(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վահանակ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լուսատախտակ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գրաժապավեն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պաստառ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և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այլն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>)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____________________________</w:t>
                        </w:r>
                        <w:r w:rsidR="00482311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</w:t>
                        </w:r>
                      </w:p>
                      <w:p w:rsidR="00AA3ED1" w:rsidRPr="00482311" w:rsidRDefault="00482311" w:rsidP="0048231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     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գովազդի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տեսակը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_____________________________</w:t>
                        </w:r>
                        <w:r w:rsidR="00482311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_______________</w:t>
                        </w:r>
                        <w:r w:rsidRPr="005F1C5F"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  <w:t>_____</w:t>
                        </w:r>
                      </w:p>
                      <w:p w:rsidR="00AA3ED1" w:rsidRPr="00482311" w:rsidRDefault="00482311" w:rsidP="0048231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  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գովազդային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նյութի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 </w:t>
                        </w:r>
                        <w:r w:rsidR="00AA3ED1" w:rsidRPr="00482311">
                          <w:rPr>
                            <w:rFonts w:ascii="GHEA Mariam" w:eastAsia="Times New Roman" w:hAnsi="GHEA Mariam" w:cs="Times New Roman"/>
                            <w:sz w:val="16"/>
                            <w:szCs w:val="16"/>
                            <w:lang w:eastAsia="ru-RU"/>
                          </w:rPr>
                          <w:t>անվանումը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4"/>
                          <w:gridCol w:w="2726"/>
                        </w:tblGrid>
                        <w:tr w:rsidR="00AA3ED1" w:rsidRPr="00CF4A7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AA3ED1" w:rsidP="00AA3ED1">
                              <w:pPr>
                                <w:spacing w:after="0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Գովազդի</w:t>
                              </w:r>
                              <w:r w:rsidRPr="005F1C5F">
                                <w:rPr>
                                  <w:rFonts w:ascii="Courier New" w:eastAsia="Times New Roman" w:hAnsi="Courier New" w:cs="Courier New"/>
                                  <w:lang w:val="en-US" w:eastAsia="ru-RU"/>
                                </w:rPr>
                                <w:t> 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մակերեսը</w:t>
                              </w:r>
                              <w:r w:rsidRPr="005F1C5F">
                                <w:rPr>
                                  <w:rFonts w:ascii="Courier New" w:eastAsia="Times New Roman" w:hAnsi="Courier New" w:cs="Courier New"/>
                                  <w:lang w:val="en-US" w:eastAsia="ru-RU"/>
                                </w:rPr>
                                <w:t> 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_____</w:t>
                              </w:r>
                              <w:r w:rsidRPr="005F1C5F">
                                <w:rPr>
                                  <w:rFonts w:ascii="Courier New" w:eastAsia="Times New Roman" w:hAnsi="Courier New" w:cs="Courier New"/>
                                  <w:lang w:val="en-US" w:eastAsia="ru-RU"/>
                                </w:rPr>
                                <w:t> 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քմ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AA3ED1" w:rsidP="00AA3ED1">
                              <w:pPr>
                                <w:spacing w:after="0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  <w:tr w:rsidR="00AA3ED1" w:rsidRPr="00CF4A7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AA3ED1" w:rsidP="00AA3ED1">
                              <w:pPr>
                                <w:spacing w:after="0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Թույլտվության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 xml:space="preserve"> 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գործողության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 xml:space="preserve"> 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ժամկետը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`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C26BE3" w:rsidP="00C26BE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 xml:space="preserve">        «__»__________20</w:t>
                              </w:r>
                              <w:r w:rsidR="00AA3ED1"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_</w:t>
                              </w:r>
                              <w:r w:rsidR="00AA3ED1"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թ</w:t>
                              </w:r>
                              <w:r w:rsidR="00AA3ED1"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A3ED1" w:rsidRPr="00CF4A7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AA3ED1" w:rsidP="00AA3ED1">
                              <w:pPr>
                                <w:spacing w:after="0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3ED1" w:rsidRPr="005F1C5F" w:rsidRDefault="00AA3ED1" w:rsidP="00AA3ED1">
                              <w:pPr>
                                <w:spacing w:after="0" w:line="240" w:lineRule="auto"/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</w:pP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առ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`</w:t>
                              </w:r>
                              <w:r w:rsidRPr="005F1C5F">
                                <w:rPr>
                                  <w:rFonts w:ascii="Courier New" w:eastAsia="Times New Roman" w:hAnsi="Courier New" w:cs="Courier New"/>
                                  <w:lang w:val="en-US" w:eastAsia="ru-RU"/>
                                </w:rPr>
                                <w:t> 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«__»</w:t>
                              </w:r>
                              <w:r w:rsidRPr="005F1C5F">
                                <w:rPr>
                                  <w:rFonts w:ascii="Courier New" w:eastAsia="Times New Roman" w:hAnsi="Courier New" w:cs="Courier New"/>
                                  <w:lang w:val="en-US" w:eastAsia="ru-RU"/>
                                </w:rPr>
                                <w:t> </w:t>
                              </w:r>
                              <w:r w:rsidR="00C26BE3"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__________20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_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eastAsia="ru-RU"/>
                                </w:rPr>
                                <w:t>թ</w:t>
                              </w:r>
                              <w:r w:rsidRPr="005F1C5F">
                                <w:rPr>
                                  <w:rFonts w:ascii="GHEA Mariam" w:eastAsia="Times New Roman" w:hAnsi="GHEA Mariam" w:cs="Times New Roman"/>
                                  <w:lang w:val="en-US"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A3ED1" w:rsidRPr="005F1C5F" w:rsidRDefault="00AA3ED1" w:rsidP="00AA3ED1">
                        <w:pPr>
                          <w:spacing w:after="0" w:line="240" w:lineRule="auto"/>
                          <w:rPr>
                            <w:rFonts w:ascii="GHEA Mariam" w:eastAsia="Times New Roman" w:hAnsi="GHEA Mariam" w:cs="Times New Roman"/>
                            <w:lang w:val="en-US" w:eastAsia="ru-RU"/>
                          </w:rPr>
                        </w:pPr>
                        <w:r w:rsidRPr="005F1C5F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</w:tbl>
                <w:p w:rsidR="00AA3ED1" w:rsidRPr="005F1C5F" w:rsidRDefault="00AA3ED1" w:rsidP="00AA3E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en-US" w:eastAsia="ru-RU"/>
                    </w:rPr>
                  </w:pPr>
                  <w:r w:rsidRPr="005F1C5F">
                    <w:rPr>
                      <w:rFonts w:ascii="Courier New" w:eastAsia="Times New Roman" w:hAnsi="Courier New" w:cs="Courier New"/>
                      <w:lang w:val="en-US" w:eastAsia="ru-RU"/>
                    </w:rPr>
                    <w:t>   </w:t>
                  </w:r>
                </w:p>
              </w:tc>
            </w:tr>
          </w:tbl>
          <w:p w:rsidR="00AA3ED1" w:rsidRPr="0090711A" w:rsidRDefault="00AA3ED1" w:rsidP="00AA3E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E5E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 </w:t>
            </w:r>
            <w:r w:rsidRPr="0090711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A3ED1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Կ</w:t>
            </w:r>
            <w:r w:rsidRPr="0090711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  <w:r w:rsidRPr="00AA3ED1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Տ</w:t>
            </w:r>
            <w:r w:rsidRPr="0090711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AA3ED1" w:rsidRPr="00482311" w:rsidRDefault="00C26BE3" w:rsidP="00AA3ED1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48231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Բյուրեղավան</w:t>
            </w:r>
            <w:r w:rsidR="00873D2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48231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համայնքի</w:t>
            </w:r>
            <w:r w:rsidR="00AA3ED1" w:rsidRPr="0048231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AA3ED1" w:rsidRPr="0048231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ղեկավար</w:t>
            </w:r>
            <w:r w:rsidR="00AA3ED1" w:rsidRPr="0048231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`</w:t>
            </w:r>
            <w:r w:rsidR="00AA3ED1" w:rsidRPr="00482311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 </w:t>
            </w:r>
            <w:r w:rsidR="00AA3ED1" w:rsidRPr="0048231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__________________</w:t>
            </w:r>
          </w:p>
          <w:p w:rsidR="00AA3ED1" w:rsidRPr="00C26BE3" w:rsidRDefault="00AA3ED1" w:rsidP="00AA3E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C26BE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</w:tbl>
    <w:p w:rsidR="00B5166D" w:rsidRDefault="00B5166D" w:rsidP="00590156">
      <w:pPr>
        <w:spacing w:after="0" w:line="240" w:lineRule="auto"/>
      </w:pPr>
    </w:p>
    <w:sectPr w:rsidR="00B5166D" w:rsidSect="005E58E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B1" w:rsidRDefault="00B826B1" w:rsidP="0043342E">
      <w:pPr>
        <w:spacing w:after="0" w:line="240" w:lineRule="auto"/>
      </w:pPr>
      <w:r>
        <w:separator/>
      </w:r>
    </w:p>
  </w:endnote>
  <w:endnote w:type="continuationSeparator" w:id="0">
    <w:p w:rsidR="00B826B1" w:rsidRDefault="00B826B1" w:rsidP="004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163865"/>
      <w:docPartObj>
        <w:docPartGallery w:val="Page Numbers (Bottom of Page)"/>
        <w:docPartUnique/>
      </w:docPartObj>
    </w:sdtPr>
    <w:sdtEndPr/>
    <w:sdtContent>
      <w:p w:rsidR="0043342E" w:rsidRDefault="004334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70">
          <w:rPr>
            <w:noProof/>
          </w:rPr>
          <w:t>1</w:t>
        </w:r>
        <w:r>
          <w:fldChar w:fldCharType="end"/>
        </w:r>
      </w:p>
    </w:sdtContent>
  </w:sdt>
  <w:p w:rsidR="0043342E" w:rsidRDefault="0043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B1" w:rsidRDefault="00B826B1" w:rsidP="0043342E">
      <w:pPr>
        <w:spacing w:after="0" w:line="240" w:lineRule="auto"/>
      </w:pPr>
      <w:r>
        <w:separator/>
      </w:r>
    </w:p>
  </w:footnote>
  <w:footnote w:type="continuationSeparator" w:id="0">
    <w:p w:rsidR="00B826B1" w:rsidRDefault="00B826B1" w:rsidP="0043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D1"/>
    <w:rsid w:val="00044E64"/>
    <w:rsid w:val="000E01CB"/>
    <w:rsid w:val="001078A4"/>
    <w:rsid w:val="001329BB"/>
    <w:rsid w:val="00145443"/>
    <w:rsid w:val="00206A6B"/>
    <w:rsid w:val="0029725C"/>
    <w:rsid w:val="002C0160"/>
    <w:rsid w:val="0043342E"/>
    <w:rsid w:val="00482311"/>
    <w:rsid w:val="004A3E97"/>
    <w:rsid w:val="005425EE"/>
    <w:rsid w:val="00576D9F"/>
    <w:rsid w:val="00590156"/>
    <w:rsid w:val="00590493"/>
    <w:rsid w:val="005C566D"/>
    <w:rsid w:val="005D7629"/>
    <w:rsid w:val="005E58E0"/>
    <w:rsid w:val="005F1C5F"/>
    <w:rsid w:val="006260FC"/>
    <w:rsid w:val="00677B45"/>
    <w:rsid w:val="00694F44"/>
    <w:rsid w:val="00702D7E"/>
    <w:rsid w:val="00794092"/>
    <w:rsid w:val="007E75DD"/>
    <w:rsid w:val="00850156"/>
    <w:rsid w:val="00862D5F"/>
    <w:rsid w:val="00873D2E"/>
    <w:rsid w:val="00882C72"/>
    <w:rsid w:val="008D5723"/>
    <w:rsid w:val="008E5E12"/>
    <w:rsid w:val="008F1A37"/>
    <w:rsid w:val="008F73AB"/>
    <w:rsid w:val="00907055"/>
    <w:rsid w:val="0090711A"/>
    <w:rsid w:val="00933FB9"/>
    <w:rsid w:val="0093466E"/>
    <w:rsid w:val="00944100"/>
    <w:rsid w:val="0097766D"/>
    <w:rsid w:val="00993030"/>
    <w:rsid w:val="00A25E7E"/>
    <w:rsid w:val="00A86DDA"/>
    <w:rsid w:val="00AA3ED1"/>
    <w:rsid w:val="00AB5C5B"/>
    <w:rsid w:val="00B011AF"/>
    <w:rsid w:val="00B07ABB"/>
    <w:rsid w:val="00B17DEA"/>
    <w:rsid w:val="00B5166D"/>
    <w:rsid w:val="00B6194A"/>
    <w:rsid w:val="00B63F71"/>
    <w:rsid w:val="00B826B1"/>
    <w:rsid w:val="00BA0120"/>
    <w:rsid w:val="00BA0E9C"/>
    <w:rsid w:val="00C26BE3"/>
    <w:rsid w:val="00C725C9"/>
    <w:rsid w:val="00C95453"/>
    <w:rsid w:val="00CB2BE2"/>
    <w:rsid w:val="00CF4210"/>
    <w:rsid w:val="00CF4A74"/>
    <w:rsid w:val="00D07B4D"/>
    <w:rsid w:val="00D43A8D"/>
    <w:rsid w:val="00D80870"/>
    <w:rsid w:val="00E01841"/>
    <w:rsid w:val="00E1226F"/>
    <w:rsid w:val="00E131E4"/>
    <w:rsid w:val="00E20872"/>
    <w:rsid w:val="00E3717D"/>
    <w:rsid w:val="00E8689D"/>
    <w:rsid w:val="00E91BA4"/>
    <w:rsid w:val="00ED3218"/>
    <w:rsid w:val="00F6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ED1"/>
    <w:rPr>
      <w:b/>
      <w:bCs/>
    </w:rPr>
  </w:style>
  <w:style w:type="character" w:styleId="a5">
    <w:name w:val="Emphasis"/>
    <w:basedOn w:val="a0"/>
    <w:uiPriority w:val="20"/>
    <w:qFormat/>
    <w:rsid w:val="00AA3ED1"/>
    <w:rPr>
      <w:i/>
      <w:iCs/>
    </w:rPr>
  </w:style>
  <w:style w:type="character" w:customStyle="1" w:styleId="apple-converted-space">
    <w:name w:val="apple-converted-space"/>
    <w:basedOn w:val="a0"/>
    <w:rsid w:val="00AA3ED1"/>
  </w:style>
  <w:style w:type="paragraph" w:styleId="a6">
    <w:name w:val="List Paragraph"/>
    <w:basedOn w:val="a"/>
    <w:uiPriority w:val="34"/>
    <w:qFormat/>
    <w:rsid w:val="008F1A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4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42E"/>
  </w:style>
  <w:style w:type="paragraph" w:styleId="ab">
    <w:name w:val="footer"/>
    <w:basedOn w:val="a"/>
    <w:link w:val="ac"/>
    <w:uiPriority w:val="99"/>
    <w:unhideWhenUsed/>
    <w:rsid w:val="0043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ED1"/>
    <w:rPr>
      <w:b/>
      <w:bCs/>
    </w:rPr>
  </w:style>
  <w:style w:type="character" w:styleId="a5">
    <w:name w:val="Emphasis"/>
    <w:basedOn w:val="a0"/>
    <w:uiPriority w:val="20"/>
    <w:qFormat/>
    <w:rsid w:val="00AA3ED1"/>
    <w:rPr>
      <w:i/>
      <w:iCs/>
    </w:rPr>
  </w:style>
  <w:style w:type="character" w:customStyle="1" w:styleId="apple-converted-space">
    <w:name w:val="apple-converted-space"/>
    <w:basedOn w:val="a0"/>
    <w:rsid w:val="00AA3ED1"/>
  </w:style>
  <w:style w:type="paragraph" w:styleId="a6">
    <w:name w:val="List Paragraph"/>
    <w:basedOn w:val="a"/>
    <w:uiPriority w:val="34"/>
    <w:qFormat/>
    <w:rsid w:val="008F1A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4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42E"/>
  </w:style>
  <w:style w:type="paragraph" w:styleId="ab">
    <w:name w:val="footer"/>
    <w:basedOn w:val="a"/>
    <w:link w:val="ac"/>
    <w:uiPriority w:val="99"/>
    <w:unhideWhenUsed/>
    <w:rsid w:val="0043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122-37D2-48E7-8101-4D364C77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</cp:lastModifiedBy>
  <cp:revision>8</cp:revision>
  <cp:lastPrinted>2017-12-18T11:22:00Z</cp:lastPrinted>
  <dcterms:created xsi:type="dcterms:W3CDTF">2017-12-13T05:50:00Z</dcterms:created>
  <dcterms:modified xsi:type="dcterms:W3CDTF">2017-12-19T11:37:00Z</dcterms:modified>
</cp:coreProperties>
</file>