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4819" w:rsidRPr="007D0B2F" w:rsidTr="003B790E">
        <w:trPr>
          <w:tblCellSpacing w:w="0" w:type="dxa"/>
        </w:trPr>
        <w:tc>
          <w:tcPr>
            <w:tcW w:w="9355" w:type="dxa"/>
            <w:shd w:val="clear" w:color="auto" w:fill="FFFFFF"/>
            <w:vAlign w:val="bottom"/>
            <w:hideMark/>
          </w:tcPr>
          <w:p w:rsidR="000D4819" w:rsidRPr="007D0B2F" w:rsidRDefault="000D4819" w:rsidP="003B790E">
            <w:pPr>
              <w:spacing w:after="0" w:line="240" w:lineRule="auto"/>
              <w:ind w:left="-180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0D4819" w:rsidRPr="007D0B2F" w:rsidRDefault="000D4819" w:rsidP="003B790E">
            <w:pPr>
              <w:spacing w:after="0" w:line="240" w:lineRule="auto"/>
              <w:ind w:left="-180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en-US" w:eastAsia="ru-RU"/>
              </w:rPr>
              <w:t>Բյուրեղավան</w:t>
            </w: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val="en-US" w:eastAsia="ru-RU"/>
              </w:rPr>
              <w:t>համայնքի</w:t>
            </w: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 xml:space="preserve">  ավագանու</w:t>
            </w:r>
          </w:p>
          <w:p w:rsidR="000D4819" w:rsidRPr="007D0B2F" w:rsidRDefault="000D4819" w:rsidP="00AA7AA8">
            <w:pPr>
              <w:spacing w:after="0" w:line="240" w:lineRule="auto"/>
              <w:ind w:left="-180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7D0B2F">
              <w:rPr>
                <w:rFonts w:ascii="GHEA Mariam" w:eastAsia="Times New Roman" w:hAnsi="GHEA Mariam" w:cs="Arial Unicode"/>
                <w:bCs/>
                <w:color w:val="000000"/>
                <w:sz w:val="20"/>
                <w:szCs w:val="20"/>
                <w:lang w:eastAsia="ru-RU"/>
              </w:rPr>
              <w:t>թվականի</w:t>
            </w: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0B2F" w:rsidRPr="007D0B2F">
              <w:rPr>
                <w:rFonts w:ascii="GHEA Mariam" w:eastAsia="Times New Roman" w:hAnsi="GHEA Mariam" w:cs="Arial Unicode"/>
                <w:bCs/>
                <w:color w:val="000000"/>
                <w:sz w:val="20"/>
                <w:szCs w:val="20"/>
                <w:lang w:val="en-US" w:eastAsia="ru-RU"/>
              </w:rPr>
              <w:t>մարտի 12</w:t>
            </w:r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>-ի</w:t>
            </w:r>
            <w:r w:rsidRPr="007D0B2F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456C7"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bookmarkStart w:id="0" w:name="_GoBack"/>
            <w:bookmarkEnd w:id="0"/>
            <w:r w:rsidRPr="007D0B2F">
              <w:rPr>
                <w:rFonts w:ascii="GHEA Mariam" w:eastAsia="Times New Roman" w:hAnsi="GHEA Mariam" w:cs="Times New Roman"/>
                <w:bCs/>
                <w:color w:val="000000"/>
                <w:sz w:val="20"/>
                <w:szCs w:val="20"/>
                <w:lang w:eastAsia="ru-RU"/>
              </w:rPr>
              <w:t>-Ն որոշման</w:t>
            </w:r>
          </w:p>
        </w:tc>
      </w:tr>
    </w:tbl>
    <w:p w:rsidR="000D4819" w:rsidRPr="007D0B2F" w:rsidRDefault="000D4819" w:rsidP="000D481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</w:pPr>
    </w:p>
    <w:p w:rsidR="000D4819" w:rsidRPr="007D0B2F" w:rsidRDefault="000D4819" w:rsidP="000D481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</w:pPr>
    </w:p>
    <w:p w:rsidR="000D4819" w:rsidRPr="007D0B2F" w:rsidRDefault="000D4819" w:rsidP="000D481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7D0B2F">
        <w:rPr>
          <w:rFonts w:ascii="Courier New" w:eastAsia="Times New Roman" w:hAnsi="Courier New" w:cs="Courier New"/>
          <w:color w:val="000000"/>
          <w:lang w:val="en-US" w:eastAsia="ru-RU"/>
        </w:rPr>
        <w:t> </w:t>
      </w:r>
    </w:p>
    <w:p w:rsidR="00280D57" w:rsidRDefault="000D4819" w:rsidP="00280D57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</w:pP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ՀԱՅԱՍՏԱՆԻ ՀԱՆՐԱՊԵՏՈՒԹՅԱՆ ԿՈՏԱՅՔԻ ՄԱՐԶԻ ԲՅՈՒՐԵՂԱՎԱՆ ՀԱՄԱՅՆՔԻ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ՎԱՐՉԱԿԱՆ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ՍԱՀՄԱՆՆԵՐՈՒՄ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ԳՏՆՎՈՂ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ԱՆՇԱՐԺ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ԳՈՒՅՔԻ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ՍԵՓԱԿԱՆԱՏԻՐՈՋ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ԿԱՄ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ՏԻՐԱՊԵՏՈՂԻ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`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ԻՐ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ՏԻՐԱՊԵՏՄԱՆ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ՏԱԿ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ԳՏՆՎՈՂ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ԱՆՇԱՐԺ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Times New Roman"/>
          <w:b/>
          <w:bCs/>
          <w:color w:val="000000"/>
          <w:lang w:eastAsia="ru-RU"/>
        </w:rPr>
        <w:t>ԳՈՒՅՔԻ</w:t>
      </w:r>
      <w:r w:rsidRPr="007D0B2F">
        <w:rPr>
          <w:rFonts w:ascii="Courier New" w:eastAsia="Times New Roman" w:hAnsi="Courier New" w:cs="Courier New"/>
          <w:b/>
          <w:bCs/>
          <w:color w:val="000000"/>
          <w:lang w:val="en-US" w:eastAsia="ru-RU"/>
        </w:rPr>
        <w:t> 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ԵՎ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ԴՐԱՆ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ՀԱՐԱԿԻՑ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ԸՆԴՀԱՆՈՒՐ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ՕԳՏԱԳՈՐԾՄԱՆ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ՏԱՐԱԾՔԻ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ՊԱՐՏԱԴԻՐ</w:t>
      </w:r>
      <w:r w:rsidRPr="007D0B2F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 xml:space="preserve"> </w:t>
      </w:r>
      <w:r w:rsidRPr="007D0B2F">
        <w:rPr>
          <w:rFonts w:ascii="GHEA Mariam" w:eastAsia="Times New Roman" w:hAnsi="GHEA Mariam" w:cs="Arial Unicode"/>
          <w:b/>
          <w:bCs/>
          <w:color w:val="000000"/>
          <w:lang w:eastAsia="ru-RU"/>
        </w:rPr>
        <w:t>ԲԱՐԵԿԱՐԳՄԱՆ</w:t>
      </w:r>
      <w:r w:rsidR="00280D57">
        <w:rPr>
          <w:rFonts w:ascii="GHEA Mariam" w:eastAsia="Times New Roman" w:hAnsi="GHEA Mariam" w:cs="Arial Unicode"/>
          <w:b/>
          <w:bCs/>
          <w:color w:val="000000"/>
          <w:lang w:val="en-US" w:eastAsia="ru-RU"/>
        </w:rPr>
        <w:t xml:space="preserve"> ԷՈՒԹՅՈՒՆԸ, ԾԱՎԱԼԸ ԵՎ </w:t>
      </w:r>
      <w:r w:rsidR="00280D57" w:rsidRPr="00280D57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>ԻՐԱԿԱՆԱՑՄԱՆ  ԿԱՐԳ</w:t>
      </w:r>
      <w:r w:rsidR="00280D57"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  <w:t>Ը</w:t>
      </w:r>
    </w:p>
    <w:p w:rsidR="00280D57" w:rsidRPr="00280D57" w:rsidRDefault="00280D57" w:rsidP="00280D57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color w:val="000000"/>
          <w:lang w:val="en-US" w:eastAsia="ru-RU"/>
        </w:rPr>
      </w:pPr>
    </w:p>
    <w:p w:rsidR="000D4819" w:rsidRPr="007D0B2F" w:rsidRDefault="000D4819" w:rsidP="000D481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7D0B2F">
        <w:rPr>
          <w:rFonts w:ascii="Courier New" w:eastAsia="Times New Roman" w:hAnsi="Courier New" w:cs="Courier New"/>
          <w:color w:val="000000"/>
          <w:lang w:val="en-US" w:eastAsia="ru-RU"/>
        </w:rPr>
        <w:t> 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1.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Սույն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կարգով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այսուհետ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սահմանվում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Բյուրեղավան համայնքի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վարչական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սահմաններում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սեփականատիրոջ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տակ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էությունը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ծավալը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պայմանները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այսուհետ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):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2.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բարեկարգումը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միջոցառումների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համալիր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ուղղված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Բյուրեղավան համայնքի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սանիտարական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վիճակի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գեղագիտական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տեսքի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պահպանմանն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ու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բարելավմանը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բնակչության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բնակվելու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պայմանների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հարմարավետության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բարձրացմանը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ինչպես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D83D06" w:rsidRPr="003B790E">
        <w:rPr>
          <w:rFonts w:ascii="GHEA Mariam" w:eastAsia="Times New Roman" w:hAnsi="GHEA Mariam" w:cs="Times New Roman"/>
          <w:color w:val="000000"/>
          <w:lang w:val="en-US" w:eastAsia="ru-RU"/>
        </w:rPr>
        <w:t>համայնքի բնակավայրերի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ճարտարապետական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տեսքի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պահպանմանը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որոնք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իրականացվում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ընթացիկ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նորոգման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պարբերաբար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միջոցով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3.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շինությունները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կառույցները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ինչպես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հողամասերը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4.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Սույն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գործողությունը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տարածվում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Բյուրեղավան համայնքի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վարչական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սահմաններում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տեղակայված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)`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1)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բազմաբնակարան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ստորաբաժանված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առաջին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կիսանկուղային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նկուղային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հարկերում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բնակելի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նշանակության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այսուհետ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վրա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2)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առանձին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տեղակայված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հասարակական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արտադրական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բնակելի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նշանակության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շինությունների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կառույցների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այսուհետ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վրա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3)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այգիներում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պուրակներում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սրճարանների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ռեստորանների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զվարճանքի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այսուհետ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վրա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4)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ավտոկանգառների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ավտոկայանատեղերի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վրա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5)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բացօթյա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շուկաների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տոնավաճառների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վրա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5.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`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1)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արտաքին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պատշաճ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պահպանման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այդ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թվում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լվացման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պարբերաբար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սալիկապատման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ասֆալտապատման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մաքրության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պահպանումը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lastRenderedPageBreak/>
        <w:t xml:space="preserve">2)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կանաչապատման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նախատեսված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սիզամարգերի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բուսածածկերի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կանաչապատումը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անհրաժեշտ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խնամքն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ու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պահպանումը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3)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անհրաժեշտ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լուսավորություն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մուտքի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3B790E" w:rsidRDefault="00D83D06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4)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շենքերին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ու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շինություններին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բակային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պարբերաբար</w:t>
      </w:r>
      <w:r w:rsidR="000D4819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B790E" w:rsidRPr="003B790E">
        <w:rPr>
          <w:rFonts w:ascii="GHEA Mariam" w:eastAsia="Times New Roman" w:hAnsi="GHEA Mariam" w:cs="Times New Roman"/>
          <w:color w:val="000000"/>
          <w:lang w:eastAsia="ru-RU"/>
        </w:rPr>
        <w:t>մաքրում</w:t>
      </w:r>
      <w:r w:rsidR="003B790E"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0D4819" w:rsidRPr="003B790E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="000D4819" w:rsidRPr="003B790E">
        <w:rPr>
          <w:rFonts w:ascii="GHEA Mariam" w:eastAsia="Times New Roman" w:hAnsi="GHEA Mariam" w:cs="Arial Unicode"/>
          <w:color w:val="000000"/>
          <w:lang w:eastAsia="ru-RU"/>
        </w:rPr>
        <w:t>կանաչապատում</w:t>
      </w:r>
      <w:r w:rsidR="003B790E" w:rsidRPr="003B790E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D83D06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5)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թեթև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կոնստրուկցիաներով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մետաղյա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խողովակ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ցանց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ճաղեր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այլն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ցանկապատում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դրանց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փոխում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փոխարինում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6) </w:t>
      </w:r>
      <w:r w:rsidR="00D83D06" w:rsidRPr="003B790E">
        <w:rPr>
          <w:rFonts w:ascii="GHEA Mariam" w:eastAsia="Times New Roman" w:hAnsi="GHEA Mariam" w:cs="Times New Roman"/>
          <w:color w:val="000000"/>
          <w:lang w:eastAsia="ru-RU"/>
        </w:rPr>
        <w:t>համայնքային</w:t>
      </w:r>
      <w:r w:rsidR="00D83D06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D83D06"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D83D06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D83D06" w:rsidRPr="003B790E">
        <w:rPr>
          <w:rFonts w:ascii="GHEA Mariam" w:eastAsia="Times New Roman" w:hAnsi="GHEA Mariam" w:cs="Times New Roman"/>
          <w:color w:val="000000"/>
          <w:lang w:eastAsia="ru-RU"/>
        </w:rPr>
        <w:t>միջհամայնքային</w:t>
      </w:r>
      <w:r w:rsidR="00D83D06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նշանակության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փողոցներում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առևտրային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նշանակության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տոնական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զարդարումը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Ամանորի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Ծննդյան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տոներին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յուրաքանչյուր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տարվա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դեկտեմբերի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25-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հաջորդ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տարվա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հունվարի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13-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ներառյալ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6.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Շինարարության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թույլտվություն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չպահանջող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ապահովում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կանաչապատումը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ծառատնկումը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ինչպես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տարրերի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վերականգնումը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նորոգումը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փոխումը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փոխարինումը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7.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Շինարարության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թույլտվություն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պահանջող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չպահանջող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ցանկը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Հայաստանի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Հանրապետության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կառավարության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20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>15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թվականի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մարտի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19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«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Հայաստանի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Հանրապետությունում</w:t>
      </w:r>
      <w:r w:rsidR="007B4BDA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7B4BDA" w:rsidRPr="003B790E">
        <w:rPr>
          <w:rFonts w:ascii="GHEA Mariam" w:eastAsia="Times New Roman" w:hAnsi="GHEA Mariam" w:cs="Times New Roman"/>
          <w:color w:val="000000"/>
          <w:lang w:eastAsia="ru-RU"/>
        </w:rPr>
        <w:t>կ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առուցապատման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նպատակով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թույլտվությունների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փաստաթղթերի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տրամադրման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կարգը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հաստատելու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Հայաստանի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Հանրապետության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կառավարության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շարք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որոշուներ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ուժը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կորցրած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7B4BDA" w:rsidRPr="003B790E">
        <w:rPr>
          <w:rFonts w:ascii="GHEA Mariam" w:eastAsia="Times New Roman" w:hAnsi="GHEA Mariam" w:cs="Times New Roman"/>
          <w:color w:val="000000"/>
          <w:lang w:eastAsia="ru-RU"/>
        </w:rPr>
        <w:t>ճանաչելու</w:t>
      </w:r>
      <w:r w:rsidR="007B4BDA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7B4BDA" w:rsidRPr="003B790E">
        <w:rPr>
          <w:rFonts w:ascii="GHEA Mariam" w:eastAsia="Times New Roman" w:hAnsi="GHEA Mariam" w:cs="Times New Roman"/>
          <w:color w:val="000000"/>
          <w:lang w:eastAsia="ru-RU"/>
        </w:rPr>
        <w:t>մասին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»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N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3C20B4" w:rsidRPr="00915C1D">
        <w:rPr>
          <w:rFonts w:ascii="GHEA Mariam" w:eastAsia="Times New Roman" w:hAnsi="GHEA Mariam" w:cs="Times New Roman"/>
          <w:color w:val="000000"/>
          <w:lang w:val="en-US" w:eastAsia="ru-RU"/>
        </w:rPr>
        <w:t>596-</w:t>
      </w:r>
      <w:r w:rsidR="003C20B4" w:rsidRPr="003B790E">
        <w:rPr>
          <w:rFonts w:ascii="GHEA Mariam" w:eastAsia="Times New Roman" w:hAnsi="GHEA Mariam" w:cs="Times New Roman"/>
          <w:color w:val="000000"/>
          <w:lang w:eastAsia="ru-RU"/>
        </w:rPr>
        <w:t>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որոշմամբ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8.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կազմակերպման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կատարվել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չափագրում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կազմվել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անհրաժեշտ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ցանկ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իսկ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վերականգնման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նորոգման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փոխարինման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դեպքում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թերությունների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արձանագրություն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9.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Քաղաքաշինական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օրենսդրությամբ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նախատեսված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համաձայնեցված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նախագծի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շինարարության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թույլտվության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առկայությամբ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միայն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իրականացվել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հետևյալ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983515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1)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շենքի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ճակատի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նոր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ճարտարապետական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տարրեր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դրանց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փոխարինում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վերացում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2)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տանիքի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ձևի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ծածկույթի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նյութի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փոփոխում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983515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3)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լոջիաների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ապակեպատում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ներքին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մակերևույթների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գունային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0D4819" w:rsidRPr="003B790E">
        <w:rPr>
          <w:rFonts w:ascii="GHEA Mariam" w:eastAsia="Times New Roman" w:hAnsi="GHEA Mariam" w:cs="Times New Roman"/>
          <w:color w:val="000000"/>
          <w:lang w:eastAsia="ru-RU"/>
        </w:rPr>
        <w:t>փոփոխություններ</w:t>
      </w:r>
      <w:r w:rsidR="000D4819"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4)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պատշգամբների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բազրիքաճաղերի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նկարվածքի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փոփոխություններ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5)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քարե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շարվածքով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ճակատների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նյութի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ֆակտուրայի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փոփոխություն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ներկում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ինչպես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նոր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բացվածքների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բացում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գոյություն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ունեցողների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փակում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AA37F5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10.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Գործող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ընթացակարգերով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շինարարության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թույլտվություն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չպահանջող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Բյուրեղավանի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համայնքապետարանի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նրա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լիազորված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անձի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համաձայնեցված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5D56F8" w:rsidRPr="003B790E">
        <w:rPr>
          <w:rFonts w:ascii="GHEA Mariam" w:eastAsia="Times New Roman" w:hAnsi="GHEA Mariam" w:cs="Times New Roman"/>
          <w:color w:val="000000"/>
          <w:lang w:val="en-US" w:eastAsia="ru-RU"/>
        </w:rPr>
        <w:t>էսքիզային</w:t>
      </w:r>
      <w:r w:rsidR="005D56F8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5D56F8" w:rsidRPr="003B790E">
        <w:rPr>
          <w:rFonts w:ascii="GHEA Mariam" w:eastAsia="Times New Roman" w:hAnsi="GHEA Mariam" w:cs="Times New Roman"/>
          <w:color w:val="000000"/>
          <w:lang w:val="en-US" w:eastAsia="ru-RU"/>
        </w:rPr>
        <w:t>նախագծին</w:t>
      </w:r>
      <w:r w:rsidR="005D56F8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համապատասխան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: 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11.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Պատմության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մշակույթի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հուշարձանների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ընդգրկված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կառույցների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ճակատների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վերակառուցումը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նորոգումն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հուշարձանների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լիազոր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մարմնի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համաձայնությամբ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: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լիազոր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մարմնի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տրվել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նորոգման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վերակառուցման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լուծումների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վերաբերյալ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հանձնարարականներ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որոնք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ներառվում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Բյուրեղավանի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համայնքապետարանի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տրվող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ձևավորման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նախագծում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3B790E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ճարտարապետահատակագծային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առաջադրանքում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lastRenderedPageBreak/>
        <w:t xml:space="preserve">12.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Բյուրեղավանի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համայնքապետարանի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համապատասխան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DA46FD" w:rsidRPr="003B790E">
        <w:rPr>
          <w:rFonts w:ascii="GHEA Mariam" w:eastAsia="Times New Roman" w:hAnsi="GHEA Mariam" w:cs="Times New Roman"/>
          <w:color w:val="000000"/>
          <w:lang w:val="en-US" w:eastAsia="ru-RU"/>
        </w:rPr>
        <w:t>մասնագետի</w:t>
      </w:r>
      <w:r w:rsidR="00DA46FD"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կատարման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վերահսկողության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ընթացքում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սեփականատիրոջը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տրվել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ցուցումներ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ճակատների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3B790E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վերականգնման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նորոգման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աշխատանքների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իրականացման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վերաբերյալ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հիմնավորելով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դրանց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անհրաժեշտությունը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նշելով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ժամկետները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13.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պահանջներն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`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խանութների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հասարակական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սննդի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բնակչության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կենցաղային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սպասարկման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նմանատիպ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ցուցափեղկերը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պետք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սարքավորված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ձևավորված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լինեն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պատշաճ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ձևով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շահագործվեն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պահանջներին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համապատասխան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3B790E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2)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մայթերի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դեպքում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պետք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կատարվեն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հետևյալ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պահանջները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3B790E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eastAsia="ru-RU"/>
        </w:rPr>
        <w:t>ա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ապահոված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լինի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տեսանելի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մաքրությունը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փոշուց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աղբից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տերևներից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անհրաժեշտ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թվաքանակով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աղբարկղերի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առկայությունը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որում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մաքրման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պետք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կատարվեն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առավոտյան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ժամը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08.00-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09.00-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երեկոյան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ժամը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18.00-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ից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 xml:space="preserve"> 19.00-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eastAsia="ru-RU"/>
        </w:rPr>
        <w:t>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ձմռանը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պետք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իրականացվի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տեղացած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ամենօրյա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տեղումները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դադարելուց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4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ժամ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հետո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առավոտյան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ժամը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11.00-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եթե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ձյունը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դադարել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նախորդ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երեկո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ժամը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21.00-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հետո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eastAsia="ru-RU"/>
        </w:rPr>
        <w:t>գ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տեղումների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ընդհատման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ընթացքում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մայթերի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ասֆալտբետոնե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ծածկերը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սալիկապատված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հատվածները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պետք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ամբողջությամբ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մաքրվեն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սառույցի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կուտակումներից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eastAsia="ru-RU"/>
        </w:rPr>
        <w:t>դ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ընթացքում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արգելվում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սառույցի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կույտերը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կուտակել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ճանապարհի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: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Թույլատրվում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միայն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ժամանակավորապես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կույտերը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տեղավորել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հասարակական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տրանսպորտի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կանգառների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հետնամասում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սիզամարգերում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ճամփեզրին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.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3B790E">
        <w:rPr>
          <w:rFonts w:ascii="GHEA Mariam" w:eastAsia="Times New Roman" w:hAnsi="GHEA Mariam" w:cs="Times New Roman"/>
          <w:color w:val="000000"/>
          <w:lang w:eastAsia="ru-RU"/>
        </w:rPr>
        <w:t>ե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ճանապարհների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պետք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ամբողջությամբ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մաքրված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լինեն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ձնից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սառույցից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14.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Բյուրեղավան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val="en-US" w:eastAsia="ru-RU"/>
        </w:rPr>
        <w:t>համայնքի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սահմաններում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բարեկարգումը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իրականացնում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</w:t>
      </w:r>
      <w:r w:rsidRPr="003B790E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հանդիսացող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ֆիզիկական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իրավաբանական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անձը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 w:themeColor="text1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15.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Կանաչապատման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աշխատանքները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ենթակա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պարտադիր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կատարման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միայն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Բյուրեղավանի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համայնքապետարանի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աշխատակազմի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="00E2350B"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համապատասխան</w:t>
      </w:r>
      <w:r w:rsidR="00E2350B"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="00E2350B"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մասնագետի</w:t>
      </w:r>
      <w:r w:rsidR="00E2350B"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="00E2350B"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առաջարկության</w:t>
      </w:r>
      <w:r w:rsidR="00E2350B"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="00E2350B"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դեպքում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 w:themeColor="text1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16.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սեփականատերը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տիրապետողը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արտաքին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ճարտարապետական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ցանկացած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փոփոխություն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համաձայնեցնում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Բյուրեղավանի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val="en-US" w:eastAsia="ru-RU"/>
        </w:rPr>
        <w:t>համայնքապետարանի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 w:themeColor="text1"/>
          <w:lang w:eastAsia="ru-RU"/>
        </w:rPr>
        <w:t>հետ</w:t>
      </w:r>
      <w:r w:rsidRPr="00915C1D">
        <w:rPr>
          <w:rFonts w:ascii="GHEA Mariam" w:eastAsia="Times New Roman" w:hAnsi="GHEA Mariam" w:cs="Times New Roman"/>
          <w:color w:val="000000" w:themeColor="text1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17.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համապատասխան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տակ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իրականացնում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ինքնուրույն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հաշվին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մասնագիտացված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կազմակերպությունների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ներգրավման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միջոցով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18.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դեպքում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սեփականատեր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հանդիսանում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քանի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անձ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ապա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դրանցից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յուրաքանչյուրի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մասնակցությունը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lastRenderedPageBreak/>
        <w:t>աշխատանքներին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որոշվում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իրավունքում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նրանց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մասնակցության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բաժնին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համամասնորեն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AB2BF4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19.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դեպքում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հատկացված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հողամասի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նկատմամբ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իրավունքները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ինչպես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սեփականության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իրավունքները</w:t>
      </w:r>
      <w:r w:rsidRPr="003B790E">
        <w:rPr>
          <w:rFonts w:ascii="Courier New" w:eastAsia="Times New Roman" w:hAnsi="Courier New" w:cs="Courier New"/>
          <w:color w:val="000000"/>
          <w:lang w:val="en-US" w:eastAsia="ru-RU"/>
        </w:rPr>
        <w:t> 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չեն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ենթարկվել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պետական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գրանցման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ապա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պարտադիր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բարեկարգման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և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մաքրման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է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ենթակա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այն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տարածքը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որը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փաստացի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տիրապետվում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է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անշարժ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Arial Unicode"/>
          <w:color w:val="000000"/>
          <w:lang w:eastAsia="ru-RU"/>
        </w:rPr>
        <w:t>գույքի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տիրապետողի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կողմից</w:t>
      </w:r>
      <w:r w:rsidRPr="00AB2BF4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20.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Անշարժ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գույքին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հարակից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ընդհանուր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օգտագործման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պարտադիր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բարեկարգման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աշխատանքների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ծավալը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որոշվում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`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1)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կրպակների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տաղավարների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մանրածախ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առևտուր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իրականացնող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հանրային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սննդի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զվարճանքի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բնակչության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կենցաղային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սպասարկման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ինչպես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առևտրի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այլ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ավտոտնակների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հատկացված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զբաղեցրած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5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մետր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կառույցից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դուրս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2)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բազմաբնակարան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ստորաբաժանված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շենքերի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առաջին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կիսանկուղային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նկուղային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հարկերում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գտնվող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ոչ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բնակելի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նշանակության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զբաղեցրած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3)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առանձնատների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դրանց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զբաղեցրած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հողամասի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4)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ավտոկանգառների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ավտոկայանատեղերի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հատկացված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ամբողջ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10-50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մետր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կախված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տարողականությունից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հզորությունից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),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5)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արդյունաբերական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շինարարական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հատկացված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ամբողջ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առնվազն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50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մետր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6)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առողջապահական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կրթական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օբյեկտների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հատկացված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ամբողջ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առնվազն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10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մետր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,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7)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շուկաների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տոնավաճառների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առևտրի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կենտրոնների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համար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հատկացված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զբաղեցված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տարածքի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պարագծից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50-100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մետր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`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մինչև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փողոցի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երթևեկելի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մասի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եզրաքարը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0D4819" w:rsidRPr="00915C1D" w:rsidRDefault="000D4819" w:rsidP="003B790E">
      <w:pPr>
        <w:shd w:val="clear" w:color="auto" w:fill="FFFFFF"/>
        <w:spacing w:after="0"/>
        <w:ind w:left="-270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21.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Սույն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կարգով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նախատեսված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դրույթների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խախտումն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առաջացնում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Վարչական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իրավախախտումների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վերաբերյալ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Հայաստանի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Հանրապետության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օրենսգրքով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նախատեսված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3B790E">
        <w:rPr>
          <w:rFonts w:ascii="GHEA Mariam" w:eastAsia="Times New Roman" w:hAnsi="GHEA Mariam" w:cs="Times New Roman"/>
          <w:color w:val="000000"/>
          <w:lang w:eastAsia="ru-RU"/>
        </w:rPr>
        <w:t>պատասխանատվություն</w:t>
      </w:r>
      <w:r w:rsidRPr="00915C1D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p w:rsidR="00C03AE9" w:rsidRPr="00915C1D" w:rsidRDefault="00C03AE9" w:rsidP="000D4819">
      <w:pPr>
        <w:jc w:val="both"/>
        <w:rPr>
          <w:rFonts w:ascii="GHEA Mariam" w:hAnsi="GHEA Mariam"/>
          <w:lang w:val="en-US"/>
        </w:rPr>
      </w:pPr>
    </w:p>
    <w:p w:rsidR="000D4819" w:rsidRPr="004C3FBF" w:rsidRDefault="00AB2BF4" w:rsidP="000D4819">
      <w:pPr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noProof/>
          <w:lang w:val="en-US"/>
        </w:rPr>
        <w:t xml:space="preserve">                    </w:t>
      </w:r>
    </w:p>
    <w:sectPr w:rsidR="000D4819" w:rsidRPr="004C3FBF" w:rsidSect="003B790E">
      <w:footerReference w:type="default" r:id="rId7"/>
      <w:pgSz w:w="11906" w:h="16838"/>
      <w:pgMar w:top="630" w:right="850" w:bottom="6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13" w:rsidRDefault="00610513" w:rsidP="00983515">
      <w:pPr>
        <w:spacing w:after="0" w:line="240" w:lineRule="auto"/>
      </w:pPr>
      <w:r>
        <w:separator/>
      </w:r>
    </w:p>
  </w:endnote>
  <w:endnote w:type="continuationSeparator" w:id="0">
    <w:p w:rsidR="00610513" w:rsidRDefault="00610513" w:rsidP="0098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254694"/>
      <w:docPartObj>
        <w:docPartGallery w:val="Page Numbers (Bottom of Page)"/>
        <w:docPartUnique/>
      </w:docPartObj>
    </w:sdtPr>
    <w:sdtEndPr/>
    <w:sdtContent>
      <w:p w:rsidR="00983515" w:rsidRDefault="009835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AA8">
          <w:rPr>
            <w:noProof/>
          </w:rPr>
          <w:t>1</w:t>
        </w:r>
        <w:r>
          <w:fldChar w:fldCharType="end"/>
        </w:r>
      </w:p>
    </w:sdtContent>
  </w:sdt>
  <w:p w:rsidR="00983515" w:rsidRDefault="009835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13" w:rsidRDefault="00610513" w:rsidP="00983515">
      <w:pPr>
        <w:spacing w:after="0" w:line="240" w:lineRule="auto"/>
      </w:pPr>
      <w:r>
        <w:separator/>
      </w:r>
    </w:p>
  </w:footnote>
  <w:footnote w:type="continuationSeparator" w:id="0">
    <w:p w:rsidR="00610513" w:rsidRDefault="00610513" w:rsidP="0098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B7"/>
    <w:rsid w:val="000D4819"/>
    <w:rsid w:val="001B65B7"/>
    <w:rsid w:val="00280D57"/>
    <w:rsid w:val="00291750"/>
    <w:rsid w:val="002B16D1"/>
    <w:rsid w:val="002C4832"/>
    <w:rsid w:val="003874F3"/>
    <w:rsid w:val="003B790E"/>
    <w:rsid w:val="003C20B4"/>
    <w:rsid w:val="004C3FBF"/>
    <w:rsid w:val="00593278"/>
    <w:rsid w:val="005D56F8"/>
    <w:rsid w:val="00610513"/>
    <w:rsid w:val="007B4BDA"/>
    <w:rsid w:val="007D0B2F"/>
    <w:rsid w:val="00915C1D"/>
    <w:rsid w:val="00983515"/>
    <w:rsid w:val="00AA37F5"/>
    <w:rsid w:val="00AA7AA8"/>
    <w:rsid w:val="00AB2BF4"/>
    <w:rsid w:val="00B44B29"/>
    <w:rsid w:val="00C03AE9"/>
    <w:rsid w:val="00D74569"/>
    <w:rsid w:val="00D83D06"/>
    <w:rsid w:val="00DA46FD"/>
    <w:rsid w:val="00E2350B"/>
    <w:rsid w:val="00F456C7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819"/>
    <w:rPr>
      <w:b/>
      <w:bCs/>
    </w:rPr>
  </w:style>
  <w:style w:type="character" w:styleId="a5">
    <w:name w:val="Emphasis"/>
    <w:basedOn w:val="a0"/>
    <w:uiPriority w:val="20"/>
    <w:qFormat/>
    <w:rsid w:val="000D4819"/>
    <w:rPr>
      <w:i/>
      <w:iCs/>
    </w:rPr>
  </w:style>
  <w:style w:type="paragraph" w:styleId="a6">
    <w:name w:val="header"/>
    <w:basedOn w:val="a"/>
    <w:link w:val="a7"/>
    <w:uiPriority w:val="99"/>
    <w:unhideWhenUsed/>
    <w:rsid w:val="0098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515"/>
  </w:style>
  <w:style w:type="paragraph" w:styleId="a8">
    <w:name w:val="footer"/>
    <w:basedOn w:val="a"/>
    <w:link w:val="a9"/>
    <w:uiPriority w:val="99"/>
    <w:unhideWhenUsed/>
    <w:rsid w:val="0098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515"/>
  </w:style>
  <w:style w:type="paragraph" w:styleId="aa">
    <w:name w:val="Balloon Text"/>
    <w:basedOn w:val="a"/>
    <w:link w:val="ab"/>
    <w:uiPriority w:val="99"/>
    <w:semiHidden/>
    <w:unhideWhenUsed/>
    <w:rsid w:val="002C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819"/>
    <w:rPr>
      <w:b/>
      <w:bCs/>
    </w:rPr>
  </w:style>
  <w:style w:type="character" w:styleId="a5">
    <w:name w:val="Emphasis"/>
    <w:basedOn w:val="a0"/>
    <w:uiPriority w:val="20"/>
    <w:qFormat/>
    <w:rsid w:val="000D4819"/>
    <w:rPr>
      <w:i/>
      <w:iCs/>
    </w:rPr>
  </w:style>
  <w:style w:type="paragraph" w:styleId="a6">
    <w:name w:val="header"/>
    <w:basedOn w:val="a"/>
    <w:link w:val="a7"/>
    <w:uiPriority w:val="99"/>
    <w:unhideWhenUsed/>
    <w:rsid w:val="0098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515"/>
  </w:style>
  <w:style w:type="paragraph" w:styleId="a8">
    <w:name w:val="footer"/>
    <w:basedOn w:val="a"/>
    <w:link w:val="a9"/>
    <w:uiPriority w:val="99"/>
    <w:unhideWhenUsed/>
    <w:rsid w:val="0098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515"/>
  </w:style>
  <w:style w:type="paragraph" w:styleId="aa">
    <w:name w:val="Balloon Text"/>
    <w:basedOn w:val="a"/>
    <w:link w:val="ab"/>
    <w:uiPriority w:val="99"/>
    <w:semiHidden/>
    <w:unhideWhenUsed/>
    <w:rsid w:val="002C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2018-03-16T06:37:00Z</cp:lastPrinted>
  <dcterms:created xsi:type="dcterms:W3CDTF">2018-02-27T15:28:00Z</dcterms:created>
  <dcterms:modified xsi:type="dcterms:W3CDTF">2018-06-21T13:19:00Z</dcterms:modified>
</cp:coreProperties>
</file>